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76C9"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Russian 591:  Soviet Fiction of the 1920s</w:t>
      </w:r>
    </w:p>
    <w:p w14:paraId="3075CCF8" w14:textId="77777777" w:rsidR="000B3B58" w:rsidRDefault="000B3B58">
      <w:pPr>
        <w:widowControl w:val="0"/>
        <w:autoSpaceDE w:val="0"/>
        <w:autoSpaceDN w:val="0"/>
        <w:adjustRightInd w:val="0"/>
        <w:rPr>
          <w:rFonts w:ascii="Times New Roman" w:hAnsi="Times New Roman" w:cs="Times New Roman"/>
        </w:rPr>
      </w:pPr>
    </w:p>
    <w:p w14:paraId="324518AA"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T 3:30-6:00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Eliot Borenstein</w:t>
      </w:r>
    </w:p>
    <w:p w14:paraId="1FD0120B"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331 Cabell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103 Cabell</w:t>
      </w:r>
    </w:p>
    <w:p w14:paraId="0C50F323"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924-6687/982-4934</w:t>
      </w:r>
    </w:p>
    <w:p w14:paraId="188C2F9A"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Hours:  MWF 2-3</w:t>
      </w:r>
    </w:p>
    <w:p w14:paraId="550AEF06"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 : 10-11</w:t>
      </w:r>
    </w:p>
    <w:p w14:paraId="1F80AF58" w14:textId="77777777" w:rsidR="000B3B58" w:rsidRDefault="000B3B58">
      <w:pPr>
        <w:widowControl w:val="0"/>
        <w:autoSpaceDE w:val="0"/>
        <w:autoSpaceDN w:val="0"/>
        <w:adjustRightInd w:val="0"/>
        <w:rPr>
          <w:rFonts w:ascii="Times New Roman" w:hAnsi="Times New Roman" w:cs="Times New Roman"/>
        </w:rPr>
      </w:pPr>
    </w:p>
    <w:p w14:paraId="26D3879B" w14:textId="77777777" w:rsidR="000B3B58" w:rsidRDefault="000B3B58">
      <w:pPr>
        <w:widowControl w:val="0"/>
        <w:autoSpaceDE w:val="0"/>
        <w:autoSpaceDN w:val="0"/>
        <w:adjustRightInd w:val="0"/>
        <w:rPr>
          <w:rFonts w:ascii="Times New Roman" w:hAnsi="Times New Roman" w:cs="Times New Roman"/>
        </w:rPr>
      </w:pPr>
    </w:p>
    <w:p w14:paraId="1C060779" w14:textId="305A6753"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r>
      <w:bookmarkStart w:id="0" w:name="_GoBack"/>
      <w:r>
        <w:rPr>
          <w:rFonts w:ascii="Times New Roman" w:hAnsi="Times New Roman" w:cs="Times New Roman"/>
        </w:rPr>
        <w:t xml:space="preserve">In this course, we will examine selected works of Russian fiction that date from the formative period of Soviet literature and ideology, the 1920s. </w:t>
      </w:r>
      <w:r w:rsidR="00CC5A73">
        <w:rPr>
          <w:rFonts w:ascii="Times New Roman" w:hAnsi="Times New Roman" w:cs="Times New Roman"/>
        </w:rPr>
        <w:t xml:space="preserve"> </w:t>
      </w:r>
      <w:r>
        <w:rPr>
          <w:rFonts w:ascii="Times New Roman" w:hAnsi="Times New Roman" w:cs="Times New Roman"/>
        </w:rPr>
        <w:t xml:space="preserve">The 1920s represent a unique moment in Russian, if not world, history: after years of radical ferment, Russia finally had the opportunity to put into practice the social theories that had captured the attention of a significant portion of the intelligentsia.  The first decade after the revolution held out the possibility that the gap between theory and practice might at last be breached.  </w:t>
      </w:r>
    </w:p>
    <w:p w14:paraId="2E596F58" w14:textId="73BDA2FE"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This seminar treats the attempts of several Russian authors to explore the relationship between revolutionary theory and everyday life in works of prose fiction.</w:t>
      </w:r>
      <w:r w:rsidR="00CC5A73">
        <w:rPr>
          <w:rFonts w:ascii="Times New Roman" w:hAnsi="Times New Roman" w:cs="Times New Roman"/>
        </w:rPr>
        <w:t xml:space="preserve"> </w:t>
      </w:r>
      <w:r>
        <w:rPr>
          <w:rFonts w:ascii="Times New Roman" w:hAnsi="Times New Roman" w:cs="Times New Roman"/>
        </w:rPr>
        <w:t>One can argue that literature is no closer to "real life" than any social theory, and yet fiction can be used as a model of reality, a laboratory in which ideas can be tested under controlled conditions.</w:t>
      </w:r>
      <w:r w:rsidR="00CC5A73">
        <w:rPr>
          <w:rFonts w:ascii="Times New Roman" w:hAnsi="Times New Roman" w:cs="Times New Roman"/>
        </w:rPr>
        <w:t xml:space="preserve"> </w:t>
      </w:r>
      <w:r>
        <w:rPr>
          <w:rFonts w:ascii="Times New Roman" w:hAnsi="Times New Roman" w:cs="Times New Roman"/>
        </w:rPr>
        <w:t xml:space="preserve">Whether or not the authors themselves saw their work this way, the critics and the government certainly did: writers were alternately condemned or praised for the words and actions of their characters.  </w:t>
      </w:r>
    </w:p>
    <w:p w14:paraId="38115A43" w14:textId="4D22E5D4"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works to be read in this class were selected because they all pay attention to a particular aspect of the problem of theory and practice: sexuality and the family.The bolsheviks inherited a long tradition of radical critiques of the family, the most extreme of which called for the abolition of the family as a unit.Closely related to communist anti-family rhetoric was the doctrine known as "revolutionary sublimation" or "revolutionary asceticism": the re-direction of sexual urges into "socially usefully" pursuits.  </w:t>
      </w:r>
    </w:p>
    <w:bookmarkEnd w:id="0"/>
    <w:p w14:paraId="0CC08746" w14:textId="37E06C9B"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hostility of radical theoreticians towards sexuality and the family, and by extension, towards biology itself, becomes a two-way street.If bolshevik theory is anti-family and anti-sexual, then sexuality and the family in turn become a sign of opposition to theory. </w:t>
      </w:r>
    </w:p>
    <w:p w14:paraId="51122E1E" w14:textId="77777777" w:rsidR="000B3B58" w:rsidRDefault="000B3B58">
      <w:pPr>
        <w:widowControl w:val="0"/>
        <w:autoSpaceDE w:val="0"/>
        <w:autoSpaceDN w:val="0"/>
        <w:adjustRightInd w:val="0"/>
        <w:rPr>
          <w:rFonts w:ascii="Times New Roman" w:hAnsi="Times New Roman" w:cs="Times New Roman"/>
        </w:rPr>
      </w:pPr>
    </w:p>
    <w:p w14:paraId="41801CC0"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Though we will return throughout the course to the issues of theory vs. practice and  sexuality and the "natural" vs. communism, class discussion will not be limited to any particular aspects of the works in question.  Part of each class session will be devoted to close analysis of selected passages from the texts; thematic concerns will be supplemented and enriched by discussion of issues of language, artistic style, narration, structure,  and point of view.  Primary readings will be supplemented by selected works of literary theory,  cultural criticism, and Russian philosophy.  </w:t>
      </w:r>
    </w:p>
    <w:p w14:paraId="6ADBC225" w14:textId="77777777" w:rsidR="000B3B58" w:rsidRDefault="000B3B58">
      <w:pPr>
        <w:widowControl w:val="0"/>
        <w:autoSpaceDE w:val="0"/>
        <w:autoSpaceDN w:val="0"/>
        <w:adjustRightInd w:val="0"/>
        <w:rPr>
          <w:rFonts w:ascii="Times New Roman" w:hAnsi="Times New Roman" w:cs="Times New Roman"/>
        </w:rPr>
      </w:pPr>
    </w:p>
    <w:p w14:paraId="0BB401D3"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 xml:space="preserve">Participation:  This class will be run as a seminar.  Ideally, the instructor will serve as a moderator or facilitator rather than a lecturer.  It is expected that everyone will take an active part in class discussion, and will come to class prepared with questions and observations about the works we will be reading.  </w:t>
      </w:r>
    </w:p>
    <w:p w14:paraId="13B6C336"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Each student will make one presentation during the course of the semester.  Roughly once a week the participants of this seminar will be reading and discussing a work of literary theory or cultural criticism that is relevant to either the story under discussion or the course as a </w:t>
      </w:r>
      <w:r>
        <w:rPr>
          <w:rFonts w:ascii="Times New Roman" w:hAnsi="Times New Roman" w:cs="Times New Roman"/>
        </w:rPr>
        <w:lastRenderedPageBreak/>
        <w:t xml:space="preserve">whole.  Preparing a presentation involves a small amount of research or extra reading in order to inform the seminar about the author of the theoretical work.  If possible, the presenter should try to relate the article to the texts we are discussing in class.  Most important, the presenter should prepare questions and ideas to stimulate discussion.  </w:t>
      </w:r>
    </w:p>
    <w:p w14:paraId="656BB400"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It goes without saying that the participants in the seminar are responsible for all the articles we will be reading, and not just the ones they are presenting.</w:t>
      </w:r>
    </w:p>
    <w:p w14:paraId="6FE5457B" w14:textId="77777777" w:rsidR="000B3B58" w:rsidRDefault="000B3B58">
      <w:pPr>
        <w:widowControl w:val="0"/>
        <w:autoSpaceDE w:val="0"/>
        <w:autoSpaceDN w:val="0"/>
        <w:adjustRightInd w:val="0"/>
        <w:rPr>
          <w:rFonts w:ascii="Times New Roman" w:hAnsi="Times New Roman" w:cs="Times New Roman"/>
        </w:rPr>
      </w:pPr>
    </w:p>
    <w:p w14:paraId="49A76596"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 xml:space="preserve">Reading: It is expected that the primary texts will be read in the original Russian.  Translations are on reserve and may be used as a reference, especially for difficult passages, but should not take the place of the original.  Texts have been ordered in Russian only, though the English translation of Chevengur will be ordered if possible, due to the novel's difficulty.  </w:t>
      </w:r>
    </w:p>
    <w:p w14:paraId="35F10688" w14:textId="77777777" w:rsidR="000B3B58" w:rsidRDefault="000B3B58">
      <w:pPr>
        <w:widowControl w:val="0"/>
        <w:autoSpaceDE w:val="0"/>
        <w:autoSpaceDN w:val="0"/>
        <w:adjustRightInd w:val="0"/>
        <w:rPr>
          <w:rFonts w:ascii="Times New Roman" w:hAnsi="Times New Roman" w:cs="Times New Roman"/>
        </w:rPr>
      </w:pPr>
    </w:p>
    <w:p w14:paraId="7A945D7A"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Writing: There will be three short response papers (2-3 pages) and one research paper (20 pages) assigned during the course of the semester.  The response papers are an exercise to stimulate thought and discussion, and are not expected to be masterpieces of erudition.  It is  up to each student to decide which of the works s/he wants to respond to, but I do not recommend saving these papers until the last three works.  The response papers should be turned in no later than one week after we have finished discussing a given work, and are welcome earlier.</w:t>
      </w:r>
    </w:p>
    <w:p w14:paraId="28D31BDD"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research paper can deal with any of the issues or works we are discussing in the seminar, as well as other works by these authors, or by other writers who were active in the 1920s.  The research paper could grow out of a response paper, or could be only tangentially related to the ideas we have discussed in class.  Students should consult with me before finalizing their topic.  </w:t>
      </w:r>
    </w:p>
    <w:p w14:paraId="45E0C194"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Drafts are welcome and encouraged, but not required.  </w:t>
      </w:r>
    </w:p>
    <w:p w14:paraId="5A6F31DE"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research paper is due on the last week of class.  </w:t>
      </w:r>
    </w:p>
    <w:p w14:paraId="76D8E916" w14:textId="77777777" w:rsidR="000B3B58" w:rsidRDefault="000B3B58">
      <w:pPr>
        <w:widowControl w:val="0"/>
        <w:autoSpaceDE w:val="0"/>
        <w:autoSpaceDN w:val="0"/>
        <w:adjustRightInd w:val="0"/>
        <w:rPr>
          <w:rFonts w:ascii="Times New Roman" w:hAnsi="Times New Roman" w:cs="Times New Roman"/>
        </w:rPr>
      </w:pPr>
    </w:p>
    <w:p w14:paraId="7A72F038"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Primary Texts:</w:t>
      </w:r>
    </w:p>
    <w:p w14:paraId="26767EAB"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Evgeny Zamiatin, My.</w:t>
      </w:r>
    </w:p>
    <w:p w14:paraId="2AE6365F"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Isaak Babel', Konarmiia.</w:t>
      </w:r>
    </w:p>
    <w:p w14:paraId="5CC0A297"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Iurii Olesha, Zavist'.</w:t>
      </w:r>
    </w:p>
    <w:p w14:paraId="652A7104"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Andrei Platonov, Chevengur.</w:t>
      </w:r>
    </w:p>
    <w:p w14:paraId="283E9174"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Boris Pilniak, "Krasnoe derevo"</w:t>
      </w:r>
    </w:p>
    <w:p w14:paraId="035ED14E" w14:textId="77777777" w:rsidR="000B3B58" w:rsidRDefault="000B3B58">
      <w:pPr>
        <w:widowControl w:val="0"/>
        <w:autoSpaceDE w:val="0"/>
        <w:autoSpaceDN w:val="0"/>
        <w:adjustRightInd w:val="0"/>
        <w:rPr>
          <w:rFonts w:ascii="Times New Roman" w:hAnsi="Times New Roman" w:cs="Times New Roman"/>
        </w:rPr>
      </w:pPr>
    </w:p>
    <w:p w14:paraId="67905FB8"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Secondary Texts:</w:t>
      </w:r>
    </w:p>
    <w:p w14:paraId="28B51380"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Nikolai Berdiaev "Marx vs. Man" (143-147, 156-166)</w:t>
      </w:r>
    </w:p>
    <w:p w14:paraId="45B9E06E"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Aleksandr Bogdanov, "Matter as Thing-in-Itself" (390-404)</w:t>
      </w:r>
    </w:p>
    <w:p w14:paraId="06E3A804" w14:textId="027221FC"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Katerina Clark, excerpts from The Soviet Novel</w:t>
      </w:r>
      <w:r w:rsidR="00D32DCE">
        <w:rPr>
          <w:rFonts w:ascii="Times New Roman" w:hAnsi="Times New Roman" w:cs="Times New Roman"/>
        </w:rPr>
        <w:t xml:space="preserve"> </w:t>
      </w:r>
      <w:r>
        <w:rPr>
          <w:rFonts w:ascii="Times New Roman" w:hAnsi="Times New Roman" w:cs="Times New Roman"/>
        </w:rPr>
        <w:t>(15-24, 93-106)</w:t>
      </w:r>
    </w:p>
    <w:p w14:paraId="66B162F0"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Nikolai Fedorov "The Question of Brotherhood" (11-54)</w:t>
      </w:r>
      <w:r>
        <w:rPr>
          <w:rFonts w:ascii="Times New Roman" w:hAnsi="Times New Roman" w:cs="Times New Roman"/>
        </w:rPr>
        <w:tab/>
      </w:r>
    </w:p>
    <w:p w14:paraId="3E2D87F3"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Rene Girard.  Chapter One of Deceit, Desire and the Novel (1-52)</w:t>
      </w:r>
    </w:p>
    <w:p w14:paraId="73C54B4B" w14:textId="77777777" w:rsidR="000B3B58" w:rsidRDefault="000B3B58" w:rsidP="009F74E0">
      <w:pPr>
        <w:widowControl w:val="0"/>
        <w:autoSpaceDE w:val="0"/>
        <w:autoSpaceDN w:val="0"/>
        <w:adjustRightInd w:val="0"/>
        <w:ind w:firstLine="720"/>
        <w:rPr>
          <w:rFonts w:ascii="Times New Roman" w:hAnsi="Times New Roman" w:cs="Times New Roman"/>
        </w:rPr>
      </w:pPr>
      <w:r>
        <w:rPr>
          <w:rFonts w:ascii="Times New Roman" w:hAnsi="Times New Roman" w:cs="Times New Roman"/>
        </w:rPr>
        <w:t>Luce Irigaray.  "Commodities Among Themselves" from This Sex Which Is Not One</w:t>
      </w:r>
    </w:p>
    <w:p w14:paraId="72E66A2A" w14:textId="77777777" w:rsidR="000B3B58" w:rsidRDefault="000B3B58" w:rsidP="009F74E0">
      <w:pPr>
        <w:widowControl w:val="0"/>
        <w:autoSpaceDE w:val="0"/>
        <w:autoSpaceDN w:val="0"/>
        <w:adjustRightInd w:val="0"/>
        <w:ind w:firstLine="720"/>
        <w:rPr>
          <w:rFonts w:ascii="Times New Roman" w:hAnsi="Times New Roman" w:cs="Times New Roman"/>
        </w:rPr>
      </w:pPr>
      <w:r>
        <w:rPr>
          <w:rFonts w:ascii="Times New Roman" w:hAnsi="Times New Roman" w:cs="Times New Roman"/>
        </w:rPr>
        <w:t>Vladimir Ilich Lenin, "Materialism and Empirio-Criticism" (405-436)</w:t>
      </w:r>
    </w:p>
    <w:p w14:paraId="0C83B915" w14:textId="77777777" w:rsidR="000B3B58" w:rsidRDefault="000B3B58" w:rsidP="009F74E0">
      <w:pPr>
        <w:widowControl w:val="0"/>
        <w:autoSpaceDE w:val="0"/>
        <w:autoSpaceDN w:val="0"/>
        <w:adjustRightInd w:val="0"/>
        <w:ind w:firstLine="720"/>
        <w:rPr>
          <w:rFonts w:ascii="Times New Roman" w:hAnsi="Times New Roman" w:cs="Times New Roman"/>
        </w:rPr>
      </w:pPr>
      <w:r>
        <w:rPr>
          <w:rFonts w:ascii="Times New Roman" w:hAnsi="Times New Roman" w:cs="Times New Roman"/>
        </w:rPr>
        <w:t>Camille Paglia, "Sex and Violence, or Nature and Art" from Sexual Personae (1-39)</w:t>
      </w:r>
    </w:p>
    <w:p w14:paraId="34601CCB"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Edward Said, excerpts from The World, the Text and the Critic (16-24, 111-125)</w:t>
      </w:r>
    </w:p>
    <w:p w14:paraId="663D5A21"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Lionel Tiger, excerpts from Men in Groups (169-198)</w:t>
      </w:r>
    </w:p>
    <w:p w14:paraId="5AB7A1A4"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t>Evgeny Zamiatin, "On Literature, Revolution, Entropy and Other Matters"</w:t>
      </w:r>
    </w:p>
    <w:p w14:paraId="51C101DE" w14:textId="77777777" w:rsidR="000B3B58" w:rsidRDefault="000B3B58">
      <w:pPr>
        <w:widowControl w:val="0"/>
        <w:autoSpaceDE w:val="0"/>
        <w:autoSpaceDN w:val="0"/>
        <w:adjustRightInd w:val="0"/>
        <w:rPr>
          <w:rFonts w:ascii="Times New Roman" w:hAnsi="Times New Roman" w:cs="Times New Roman"/>
        </w:rPr>
      </w:pPr>
    </w:p>
    <w:p w14:paraId="74719410" w14:textId="77777777" w:rsidR="000B3B58" w:rsidRDefault="000B3B58">
      <w:pPr>
        <w:widowControl w:val="0"/>
        <w:autoSpaceDE w:val="0"/>
        <w:autoSpaceDN w:val="0"/>
        <w:adjustRightInd w:val="0"/>
        <w:rPr>
          <w:rFonts w:ascii="Times New Roman" w:hAnsi="Times New Roman" w:cs="Times New Roman"/>
        </w:rPr>
      </w:pPr>
    </w:p>
    <w:p w14:paraId="444A11AA"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Schedule</w:t>
      </w:r>
    </w:p>
    <w:p w14:paraId="6894774E"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(subject to change)</w:t>
      </w:r>
    </w:p>
    <w:p w14:paraId="22B1CF4B" w14:textId="77777777" w:rsidR="000B3B58" w:rsidRDefault="000B3B58">
      <w:pPr>
        <w:widowControl w:val="0"/>
        <w:autoSpaceDE w:val="0"/>
        <w:autoSpaceDN w:val="0"/>
        <w:adjustRightInd w:val="0"/>
        <w:rPr>
          <w:rFonts w:ascii="Times New Roman" w:hAnsi="Times New Roman" w:cs="Times New Roman"/>
        </w:rPr>
      </w:pPr>
    </w:p>
    <w:p w14:paraId="1A6A2F90"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September 2:  Introduction</w:t>
      </w:r>
    </w:p>
    <w:p w14:paraId="76AF6D71" w14:textId="77777777" w:rsidR="000B3B58" w:rsidRDefault="000B3B58">
      <w:pPr>
        <w:widowControl w:val="0"/>
        <w:autoSpaceDE w:val="0"/>
        <w:autoSpaceDN w:val="0"/>
        <w:adjustRightInd w:val="0"/>
        <w:rPr>
          <w:rFonts w:ascii="Times New Roman" w:hAnsi="Times New Roman" w:cs="Times New Roman"/>
        </w:rPr>
      </w:pPr>
    </w:p>
    <w:p w14:paraId="430688DA"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September 7:  Zamiatin,  Entries 1-10</w:t>
      </w:r>
    </w:p>
    <w:p w14:paraId="6CBCF653"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842B3E8"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September 14: Zamiatin, Entries 11-25; Clark</w:t>
      </w:r>
    </w:p>
    <w:p w14:paraId="21FC9889"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2747DA8"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 xml:space="preserve">September 21:  Finish Zamiatin; Zamiatin "On Literature"  </w:t>
      </w:r>
    </w:p>
    <w:p w14:paraId="7A059794"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3950B37"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 xml:space="preserve">September 28: Babel':  "Perekhod cherez Zbruch" through "Berestechko"; </w:t>
      </w:r>
      <w:r>
        <w:rPr>
          <w:rFonts w:ascii="Times New Roman" w:hAnsi="Times New Roman" w:cs="Times New Roman"/>
        </w:rPr>
        <w:tab/>
      </w:r>
      <w:r>
        <w:rPr>
          <w:rFonts w:ascii="Times New Roman" w:hAnsi="Times New Roman" w:cs="Times New Roman"/>
        </w:rPr>
        <w:tab/>
        <w:t xml:space="preserve">    Tiger</w:t>
      </w:r>
    </w:p>
    <w:p w14:paraId="47DC1FF6" w14:textId="77777777" w:rsidR="000B3B58" w:rsidRDefault="000B3B58">
      <w:pPr>
        <w:widowControl w:val="0"/>
        <w:autoSpaceDE w:val="0"/>
        <w:autoSpaceDN w:val="0"/>
        <w:adjustRightInd w:val="0"/>
        <w:rPr>
          <w:rFonts w:ascii="Times New Roman" w:hAnsi="Times New Roman" w:cs="Times New Roman"/>
        </w:rPr>
      </w:pPr>
    </w:p>
    <w:p w14:paraId="62C2F82E"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October 5: Finish Babel'; Said</w:t>
      </w:r>
    </w:p>
    <w:p w14:paraId="6CB7F86A" w14:textId="77777777" w:rsidR="000B3B58" w:rsidRDefault="000B3B58">
      <w:pPr>
        <w:widowControl w:val="0"/>
        <w:autoSpaceDE w:val="0"/>
        <w:autoSpaceDN w:val="0"/>
        <w:adjustRightInd w:val="0"/>
        <w:rPr>
          <w:rFonts w:ascii="Times New Roman" w:hAnsi="Times New Roman" w:cs="Times New Roman"/>
        </w:rPr>
      </w:pPr>
    </w:p>
    <w:p w14:paraId="68C1F670"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October 12:  READING HOLIDAY</w:t>
      </w:r>
    </w:p>
    <w:p w14:paraId="7418114F" w14:textId="77777777" w:rsidR="000B3B58" w:rsidRDefault="000B3B58">
      <w:pPr>
        <w:widowControl w:val="0"/>
        <w:autoSpaceDE w:val="0"/>
        <w:autoSpaceDN w:val="0"/>
        <w:adjustRightInd w:val="0"/>
        <w:rPr>
          <w:rFonts w:ascii="Times New Roman" w:hAnsi="Times New Roman" w:cs="Times New Roman"/>
        </w:rPr>
      </w:pPr>
    </w:p>
    <w:p w14:paraId="5A5CEFBF"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October 19:  Olesha, Part One; Girard</w:t>
      </w:r>
    </w:p>
    <w:p w14:paraId="3A664987" w14:textId="77777777" w:rsidR="000B3B58" w:rsidRDefault="000B3B58">
      <w:pPr>
        <w:widowControl w:val="0"/>
        <w:autoSpaceDE w:val="0"/>
        <w:autoSpaceDN w:val="0"/>
        <w:adjustRightInd w:val="0"/>
        <w:rPr>
          <w:rFonts w:ascii="Times New Roman" w:hAnsi="Times New Roman" w:cs="Times New Roman"/>
        </w:rPr>
      </w:pPr>
    </w:p>
    <w:p w14:paraId="011FA367"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October 26:  Olesha, Part Two; Irigaray</w:t>
      </w:r>
    </w:p>
    <w:p w14:paraId="35CC545A" w14:textId="77777777" w:rsidR="000B3B58" w:rsidRDefault="000B3B58">
      <w:pPr>
        <w:widowControl w:val="0"/>
        <w:autoSpaceDE w:val="0"/>
        <w:autoSpaceDN w:val="0"/>
        <w:adjustRightInd w:val="0"/>
        <w:rPr>
          <w:rFonts w:ascii="Times New Roman" w:hAnsi="Times New Roman" w:cs="Times New Roman"/>
        </w:rPr>
      </w:pPr>
    </w:p>
    <w:p w14:paraId="7ACCC16E"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November 2: Platonov, 24-95</w:t>
      </w:r>
    </w:p>
    <w:p w14:paraId="1C25A23B" w14:textId="77777777" w:rsidR="000B3B58" w:rsidRDefault="000B3B58">
      <w:pPr>
        <w:widowControl w:val="0"/>
        <w:autoSpaceDE w:val="0"/>
        <w:autoSpaceDN w:val="0"/>
        <w:adjustRightInd w:val="0"/>
        <w:rPr>
          <w:rFonts w:ascii="Times New Roman" w:hAnsi="Times New Roman" w:cs="Times New Roman"/>
        </w:rPr>
      </w:pPr>
    </w:p>
    <w:p w14:paraId="6ACD8247"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November 9: Platonov, 95-174; Fedorov</w:t>
      </w:r>
    </w:p>
    <w:p w14:paraId="690BDD9E" w14:textId="77777777" w:rsidR="000B3B58" w:rsidRDefault="000B3B58">
      <w:pPr>
        <w:widowControl w:val="0"/>
        <w:autoSpaceDE w:val="0"/>
        <w:autoSpaceDN w:val="0"/>
        <w:adjustRightInd w:val="0"/>
        <w:rPr>
          <w:rFonts w:ascii="Times New Roman" w:hAnsi="Times New Roman" w:cs="Times New Roman"/>
        </w:rPr>
      </w:pPr>
    </w:p>
    <w:p w14:paraId="0741F21C"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November 16: Platonov, 174-243; Bogdanov</w:t>
      </w:r>
    </w:p>
    <w:p w14:paraId="07F1CB61" w14:textId="77777777" w:rsidR="000B3B58" w:rsidRDefault="000B3B58">
      <w:pPr>
        <w:widowControl w:val="0"/>
        <w:autoSpaceDE w:val="0"/>
        <w:autoSpaceDN w:val="0"/>
        <w:adjustRightInd w:val="0"/>
        <w:rPr>
          <w:rFonts w:ascii="Times New Roman" w:hAnsi="Times New Roman" w:cs="Times New Roman"/>
        </w:rPr>
      </w:pPr>
    </w:p>
    <w:p w14:paraId="62140C59"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November 23: Platonov, 243-318; Lenin</w:t>
      </w:r>
    </w:p>
    <w:p w14:paraId="362A9071" w14:textId="77777777" w:rsidR="000B3B58" w:rsidRDefault="000B3B58">
      <w:pPr>
        <w:widowControl w:val="0"/>
        <w:autoSpaceDE w:val="0"/>
        <w:autoSpaceDN w:val="0"/>
        <w:adjustRightInd w:val="0"/>
        <w:rPr>
          <w:rFonts w:ascii="Times New Roman" w:hAnsi="Times New Roman" w:cs="Times New Roman"/>
        </w:rPr>
      </w:pPr>
    </w:p>
    <w:p w14:paraId="19F41E4A"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November 30: Finish Platonov; Berdiaev</w:t>
      </w:r>
    </w:p>
    <w:p w14:paraId="453AAB30" w14:textId="77777777" w:rsidR="000B3B58" w:rsidRDefault="000B3B58">
      <w:pPr>
        <w:widowControl w:val="0"/>
        <w:autoSpaceDE w:val="0"/>
        <w:autoSpaceDN w:val="0"/>
        <w:adjustRightInd w:val="0"/>
        <w:rPr>
          <w:rFonts w:ascii="Times New Roman" w:hAnsi="Times New Roman" w:cs="Times New Roman"/>
        </w:rPr>
      </w:pPr>
    </w:p>
    <w:p w14:paraId="76C63404"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December 7:  Pilniak, "Krasnoe derevo"; Paglia</w:t>
      </w:r>
      <w:r>
        <w:rPr>
          <w:rFonts w:ascii="Times New Roman" w:hAnsi="Times New Roman" w:cs="Times New Roman"/>
        </w:rPr>
        <w:tab/>
      </w:r>
    </w:p>
    <w:p w14:paraId="2CC666A7" w14:textId="77777777" w:rsidR="000B3B58" w:rsidRDefault="000B3B58">
      <w:pPr>
        <w:widowControl w:val="0"/>
        <w:autoSpaceDE w:val="0"/>
        <w:autoSpaceDN w:val="0"/>
        <w:adjustRightInd w:val="0"/>
        <w:rPr>
          <w:rFonts w:ascii="Times New Roman" w:hAnsi="Times New Roman" w:cs="Times New Roman"/>
        </w:rPr>
      </w:pPr>
      <w:r>
        <w:rPr>
          <w:rFonts w:ascii="Times New Roman" w:hAnsi="Times New Roman" w:cs="Times New Roman"/>
        </w:rPr>
        <w:t>slations are on reserve and may be used as a reference, especially fo</w:t>
      </w:r>
    </w:p>
    <w:p w14:paraId="7F32F4CA" w14:textId="7A8161AF" w:rsidR="000B3B58" w:rsidRDefault="000B3B58">
      <w:pPr>
        <w:widowControl w:val="0"/>
        <w:autoSpaceDE w:val="0"/>
        <w:autoSpaceDN w:val="0"/>
        <w:adjustRightInd w:val="0"/>
        <w:rPr>
          <w:rFonts w:ascii="Times New Roman" w:hAnsi="Times New Roman" w:cs="Times New Roman"/>
        </w:rPr>
      </w:pPr>
    </w:p>
    <w:sectPr w:rsidR="000B3B58" w:rsidSect="000B3B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8"/>
    <w:rsid w:val="000B3B58"/>
    <w:rsid w:val="009F74E0"/>
    <w:rsid w:val="00CC5A73"/>
    <w:rsid w:val="00D32DCE"/>
    <w:rsid w:val="00EB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4739C1"/>
  <w14:defaultImageDpi w14:val="0"/>
  <w15:docId w15:val="{E3F65589-8E0E-F94E-814E-1732B0AC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5</cp:revision>
  <dcterms:created xsi:type="dcterms:W3CDTF">2020-09-02T01:35:00Z</dcterms:created>
  <dcterms:modified xsi:type="dcterms:W3CDTF">2020-09-02T14:52:00Z</dcterms:modified>
</cp:coreProperties>
</file>